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0C7FCC18" w:rsidR="00303474" w:rsidRPr="008E1ED3" w:rsidRDefault="00BD6760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C52A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.10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4CD98370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BD6760">
              <w:rPr>
                <w:rFonts w:ascii="Times New Roman" w:hAnsi="Times New Roman" w:cs="Times New Roman"/>
                <w:sz w:val="24"/>
              </w:rPr>
              <w:t>12244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26FCAF70" w:rsidR="003039DE" w:rsidRPr="00BD6760" w:rsidRDefault="00604E7F" w:rsidP="00B3739A">
      <w:pPr>
        <w:jc w:val="both"/>
        <w:rPr>
          <w:rFonts w:ascii="Times New Roman" w:hAnsi="Times New Roman" w:cs="Times New Roman"/>
          <w:sz w:val="24"/>
        </w:rPr>
      </w:pPr>
      <w:r w:rsidRPr="00BD6760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BD6760">
        <w:rPr>
          <w:rFonts w:ascii="Times New Roman" w:hAnsi="Times New Roman" w:cs="Times New Roman"/>
          <w:sz w:val="24"/>
        </w:rPr>
        <w:t>24-</w:t>
      </w:r>
      <w:r w:rsidR="00BD6760" w:rsidRPr="00BD6760">
        <w:rPr>
          <w:rFonts w:ascii="Times New Roman" w:hAnsi="Times New Roman" w:cs="Times New Roman"/>
          <w:sz w:val="24"/>
        </w:rPr>
        <w:t>12244</w:t>
      </w:r>
      <w:r w:rsidRPr="00BD6760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proofErr w:type="spellStart"/>
      <w:r w:rsidR="00BD6760" w:rsidRPr="00BD6760">
        <w:rPr>
          <w:rFonts w:ascii="Times New Roman" w:hAnsi="Times New Roman" w:cs="Times New Roman"/>
          <w:sz w:val="24"/>
        </w:rPr>
        <w:t>Lenaver</w:t>
      </w:r>
      <w:proofErr w:type="spellEnd"/>
      <w:r w:rsidR="00BD6760" w:rsidRPr="00BD6760">
        <w:rPr>
          <w:rFonts w:ascii="Times New Roman" w:hAnsi="Times New Roman" w:cs="Times New Roman"/>
          <w:sz w:val="24"/>
        </w:rPr>
        <w:t xml:space="preserve"> OÜ (registrikood 12804123) </w:t>
      </w:r>
      <w:bookmarkEnd w:id="0"/>
      <w:r w:rsidR="00B139FA" w:rsidRPr="00BD6760">
        <w:rPr>
          <w:rFonts w:ascii="Times New Roman" w:hAnsi="Times New Roman" w:cs="Times New Roman"/>
          <w:sz w:val="24"/>
        </w:rPr>
        <w:t xml:space="preserve">avaldus </w:t>
      </w:r>
      <w:r w:rsidR="00C9177D" w:rsidRPr="00BD6760">
        <w:rPr>
          <w:rFonts w:ascii="Times New Roman" w:hAnsi="Times New Roman" w:cs="Times New Roman"/>
          <w:sz w:val="24"/>
        </w:rPr>
        <w:t>pankroti väljakuulutamiseks</w:t>
      </w:r>
      <w:r w:rsidRPr="00BD6760">
        <w:rPr>
          <w:rFonts w:ascii="Times New Roman" w:hAnsi="Times New Roman" w:cs="Times New Roman"/>
          <w:sz w:val="24"/>
        </w:rPr>
        <w:t>.</w:t>
      </w:r>
      <w:r w:rsidR="009F02EB" w:rsidRPr="00BD6760">
        <w:rPr>
          <w:rFonts w:ascii="Times New Roman" w:hAnsi="Times New Roman" w:cs="Times New Roman"/>
          <w:sz w:val="24"/>
        </w:rPr>
        <w:t xml:space="preserve"> </w:t>
      </w:r>
      <w:r w:rsidR="00BD6760" w:rsidRPr="00BD6760">
        <w:rPr>
          <w:rFonts w:ascii="Times New Roman" w:hAnsi="Times New Roman" w:cs="Times New Roman"/>
          <w:sz w:val="24"/>
        </w:rPr>
        <w:t>17</w:t>
      </w:r>
      <w:r w:rsidR="00B3739A" w:rsidRPr="00BD6760">
        <w:rPr>
          <w:rFonts w:ascii="Times New Roman" w:hAnsi="Times New Roman" w:cs="Times New Roman"/>
          <w:sz w:val="24"/>
        </w:rPr>
        <w:t>.09</w:t>
      </w:r>
      <w:r w:rsidR="009F02EB" w:rsidRPr="00BD6760">
        <w:rPr>
          <w:rFonts w:ascii="Times New Roman" w:hAnsi="Times New Roman" w:cs="Times New Roman"/>
          <w:sz w:val="24"/>
        </w:rPr>
        <w:t>.202</w:t>
      </w:r>
      <w:r w:rsidR="0040376B" w:rsidRPr="00BD6760">
        <w:rPr>
          <w:rFonts w:ascii="Times New Roman" w:hAnsi="Times New Roman" w:cs="Times New Roman"/>
          <w:sz w:val="24"/>
        </w:rPr>
        <w:t>4</w:t>
      </w:r>
      <w:r w:rsidR="009F02EB" w:rsidRPr="00BD6760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BD6760">
        <w:rPr>
          <w:rFonts w:ascii="Times New Roman" w:hAnsi="Times New Roman" w:cs="Times New Roman"/>
          <w:sz w:val="24"/>
        </w:rPr>
        <w:t>pankroti</w:t>
      </w:r>
      <w:r w:rsidR="009F02EB" w:rsidRPr="00BD6760">
        <w:rPr>
          <w:rFonts w:ascii="Times New Roman" w:hAnsi="Times New Roman" w:cs="Times New Roman"/>
          <w:sz w:val="24"/>
        </w:rPr>
        <w:t xml:space="preserve">halduriks </w:t>
      </w:r>
      <w:r w:rsidR="00B3739A" w:rsidRPr="00BD6760">
        <w:rPr>
          <w:rFonts w:ascii="Times New Roman" w:hAnsi="Times New Roman" w:cs="Times New Roman"/>
          <w:sz w:val="24"/>
        </w:rPr>
        <w:t xml:space="preserve">Indrek </w:t>
      </w:r>
      <w:proofErr w:type="spellStart"/>
      <w:r w:rsidR="00B3739A" w:rsidRPr="00BD6760">
        <w:rPr>
          <w:rFonts w:ascii="Times New Roman" w:hAnsi="Times New Roman" w:cs="Times New Roman"/>
          <w:sz w:val="24"/>
        </w:rPr>
        <w:t>Lepsoo</w:t>
      </w:r>
      <w:proofErr w:type="spellEnd"/>
      <w:r w:rsidR="009F02EB" w:rsidRPr="00BD6760">
        <w:rPr>
          <w:rFonts w:ascii="Times New Roman" w:hAnsi="Times New Roman" w:cs="Times New Roman"/>
          <w:sz w:val="24"/>
        </w:rPr>
        <w:t xml:space="preserve">. </w:t>
      </w:r>
      <w:r w:rsidR="00B3739A" w:rsidRPr="00BD6760">
        <w:rPr>
          <w:rFonts w:ascii="Times New Roman" w:hAnsi="Times New Roman" w:cs="Times New Roman"/>
          <w:sz w:val="24"/>
        </w:rPr>
        <w:t xml:space="preserve">Ajutise halduri aruande kohaselt moodustavad võlgniku teadaolevad kohustused kokku vähemalt </w:t>
      </w:r>
      <w:r w:rsidR="00BD6760" w:rsidRPr="00BD6760">
        <w:rPr>
          <w:rFonts w:ascii="Times New Roman" w:hAnsi="Times New Roman" w:cs="Times New Roman"/>
          <w:sz w:val="24"/>
        </w:rPr>
        <w:t xml:space="preserve">27 225,42 </w:t>
      </w:r>
      <w:r w:rsidR="00B3739A" w:rsidRPr="00BD6760">
        <w:rPr>
          <w:rFonts w:ascii="Times New Roman" w:hAnsi="Times New Roman" w:cs="Times New Roman"/>
          <w:sz w:val="24"/>
        </w:rPr>
        <w:t>eurot</w:t>
      </w:r>
      <w:r w:rsidR="00936986" w:rsidRPr="00BD6760">
        <w:rPr>
          <w:rFonts w:ascii="Times New Roman" w:hAnsi="Times New Roman" w:cs="Times New Roman"/>
          <w:sz w:val="24"/>
        </w:rPr>
        <w:t>.</w:t>
      </w:r>
      <w:r w:rsidR="00B3739A" w:rsidRPr="00BD6760">
        <w:rPr>
          <w:rFonts w:ascii="Times New Roman" w:hAnsi="Times New Roman" w:cs="Times New Roman"/>
          <w:sz w:val="24"/>
        </w:rPr>
        <w:t xml:space="preserve"> </w:t>
      </w:r>
      <w:r w:rsidR="00BD6760" w:rsidRPr="00BD6760">
        <w:rPr>
          <w:rFonts w:ascii="Times New Roman" w:hAnsi="Times New Roman" w:cs="Times New Roman"/>
          <w:sz w:val="24"/>
        </w:rPr>
        <w:t>Võlgnikul puudub igasugune turuväärtust omav vara, mille arvelt võlausaldajate nõudeid rahuldada, samuti puudub võlgnikul vara edasiste pankrotimenetluse kulude katteks.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278151DF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BD6760">
        <w:rPr>
          <w:rFonts w:ascii="Times New Roman" w:hAnsi="Times New Roman" w:cs="Times New Roman"/>
          <w:color w:val="202020"/>
          <w:sz w:val="24"/>
          <w:shd w:val="clear" w:color="auto" w:fill="FFFFFF"/>
        </w:rPr>
        <w:t>18</w:t>
      </w:r>
      <w:r w:rsidR="00B3739A">
        <w:rPr>
          <w:rFonts w:ascii="Times New Roman" w:hAnsi="Times New Roman" w:cs="Times New Roman"/>
          <w:color w:val="202020"/>
          <w:sz w:val="24"/>
          <w:shd w:val="clear" w:color="auto" w:fill="FFFFFF"/>
        </w:rPr>
        <w:t>.10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936986">
        <w:rPr>
          <w:rFonts w:ascii="Times New Roman" w:hAnsi="Times New Roman" w:cs="Times New Roman"/>
          <w:color w:val="202020"/>
          <w:sz w:val="24"/>
          <w:shd w:val="clear" w:color="auto" w:fill="FFFFFF"/>
        </w:rPr>
        <w:t>4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3F23BA87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775386">
        <w:rPr>
          <w:rFonts w:ascii="Times New Roman" w:hAnsi="Times New Roman" w:cs="Times New Roman"/>
          <w:noProof/>
          <w:sz w:val="24"/>
        </w:rPr>
        <w:t>19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B3739A">
        <w:rPr>
          <w:rFonts w:ascii="Times New Roman" w:hAnsi="Times New Roman" w:cs="Times New Roman"/>
          <w:noProof/>
          <w:sz w:val="24"/>
        </w:rPr>
        <w:t>novemb</w:t>
      </w:r>
      <w:r w:rsidR="006822CE">
        <w:rPr>
          <w:rFonts w:ascii="Times New Roman" w:hAnsi="Times New Roman" w:cs="Times New Roman"/>
          <w:noProof/>
          <w:sz w:val="24"/>
        </w:rPr>
        <w:t>riks</w:t>
      </w:r>
      <w:r w:rsidR="0041046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BD6760">
        <w:rPr>
          <w:rFonts w:ascii="Times New Roman" w:hAnsi="Times New Roman" w:cs="Times New Roman"/>
          <w:noProof/>
          <w:sz w:val="24"/>
        </w:rPr>
        <w:t>12244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822CE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3739A"/>
    <w:rsid w:val="00B476EC"/>
    <w:rsid w:val="00B57933"/>
    <w:rsid w:val="00B85165"/>
    <w:rsid w:val="00B92C94"/>
    <w:rsid w:val="00BD4912"/>
    <w:rsid w:val="00BD6760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C52AF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2024-10-21T13:03:00Z</cp:lastPrinted>
  <dcterms:created xsi:type="dcterms:W3CDTF">2024-10-28T07:04:00Z</dcterms:created>
  <dcterms:modified xsi:type="dcterms:W3CDTF">2024-10-31T10:13:00Z</dcterms:modified>
</cp:coreProperties>
</file>